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412A7C" w:rsidRPr="00B54668" w:rsidTr="00A5042B">
        <w:trPr>
          <w:trHeight w:val="926"/>
        </w:trPr>
        <w:tc>
          <w:tcPr>
            <w:tcW w:w="22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b/>
                <w:sz w:val="36"/>
                <w:szCs w:val="36"/>
              </w:rPr>
            </w:pPr>
            <w:r w:rsidRPr="00A5042B">
              <w:rPr>
                <w:rFonts w:ascii="Candara" w:hAnsi="Candara"/>
                <w:b/>
                <w:sz w:val="36"/>
                <w:szCs w:val="36"/>
              </w:rPr>
              <w:t>Course unit</w:t>
            </w:r>
          </w:p>
          <w:p w:rsidR="00412A7C" w:rsidRPr="00A5042B" w:rsidRDefault="00412A7C" w:rsidP="00A5042B">
            <w:pPr>
              <w:spacing w:line="240" w:lineRule="auto"/>
              <w:contextualSpacing/>
              <w:jc w:val="center"/>
              <w:rPr>
                <w:rFonts w:ascii="Candara" w:hAnsi="Candara"/>
                <w:b/>
                <w:sz w:val="32"/>
                <w:szCs w:val="32"/>
              </w:rPr>
            </w:pPr>
            <w:r w:rsidRPr="00A5042B">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BC4306" w:rsidP="00A5042B">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6110" cy="615315"/>
                  <wp:effectExtent l="19050" t="0" r="2540" b="0"/>
                  <wp:docPr id="1" name="Picture 0" descr="Description: 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OO.png"/>
                          <pic:cNvPicPr>
                            <a:picLocks noChangeAspect="1" noChangeArrowheads="1"/>
                          </pic:cNvPicPr>
                        </pic:nvPicPr>
                        <pic:blipFill>
                          <a:blip r:embed="rId7" cstate="print"/>
                          <a:srcRect/>
                          <a:stretch>
                            <a:fillRect/>
                          </a:stretch>
                        </pic:blipFill>
                        <pic:spPr bwMode="auto">
                          <a:xfrm>
                            <a:off x="0" y="0"/>
                            <a:ext cx="626110" cy="615315"/>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F86532" w:rsidP="00A5042B">
            <w:pPr>
              <w:suppressAutoHyphens w:val="0"/>
              <w:spacing w:after="200" w:line="276" w:lineRule="auto"/>
              <w:jc w:val="left"/>
              <w:rPr>
                <w:rFonts w:ascii="Candara" w:hAnsi="Candara"/>
              </w:rPr>
            </w:pPr>
            <w:r w:rsidRPr="00A5042B">
              <w:rPr>
                <w:rFonts w:ascii="Candara" w:hAnsi="Candara"/>
                <w:noProof/>
                <w:lang w:val="en-US"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57728;mso-position-horizontal-relative:text;mso-position-vertical-relative:text;mso-width-relative:margin;mso-height-relative:margin" stroked="f">
                  <v:textbox style="mso-next-textbox:#_x0000_s1026">
                    <w:txbxContent>
                      <w:p w:rsidR="00412A7C" w:rsidRDefault="00BC4306" w:rsidP="00412A7C">
                        <w:r>
                          <w:rPr>
                            <w:noProof/>
                            <w:lang w:val="sr-Latn-CS" w:eastAsia="sr-Latn-CS"/>
                          </w:rPr>
                          <w:drawing>
                            <wp:inline distT="0" distB="0" distL="0" distR="0">
                              <wp:extent cx="3004185" cy="522605"/>
                              <wp:effectExtent l="19050" t="0" r="5715" b="0"/>
                              <wp:docPr id="2" name="Picture 0" descr="Description: 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NS.png"/>
                                      <pic:cNvPicPr>
                                        <a:picLocks noChangeAspect="1" noChangeArrowheads="1"/>
                                      </pic:cNvPicPr>
                                    </pic:nvPicPr>
                                    <pic:blipFill>
                                      <a:blip r:embed="rId8"/>
                                      <a:srcRect/>
                                      <a:stretch>
                                        <a:fillRect/>
                                      </a:stretch>
                                    </pic:blipFill>
                                    <pic:spPr bwMode="auto">
                                      <a:xfrm>
                                        <a:off x="0" y="0"/>
                                        <a:ext cx="3004185" cy="522605"/>
                                      </a:xfrm>
                                      <a:prstGeom prst="rect">
                                        <a:avLst/>
                                      </a:prstGeom>
                                      <a:noFill/>
                                      <a:ln w="9525">
                                        <a:noFill/>
                                        <a:miter lim="800000"/>
                                        <a:headEnd/>
                                        <a:tailEnd/>
                                      </a:ln>
                                    </pic:spPr>
                                  </pic:pic>
                                </a:graphicData>
                              </a:graphic>
                            </wp:inline>
                          </w:drawing>
                        </w:r>
                      </w:p>
                    </w:txbxContent>
                  </v:textbox>
                </v:shape>
              </w:pict>
            </w:r>
          </w:p>
          <w:p w:rsidR="00412A7C" w:rsidRPr="00A5042B" w:rsidRDefault="00412A7C" w:rsidP="00A5042B">
            <w:pPr>
              <w:jc w:val="left"/>
              <w:rPr>
                <w:rFonts w:ascii="Candara" w:hAnsi="Candara"/>
              </w:rPr>
            </w:pPr>
          </w:p>
        </w:tc>
      </w:tr>
      <w:tr w:rsidR="00412A7C" w:rsidRPr="00B54668" w:rsidTr="00A5042B">
        <w:trPr>
          <w:trHeight w:val="754"/>
        </w:trPr>
        <w:tc>
          <w:tcPr>
            <w:tcW w:w="2250"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noProof/>
                <w:lang w:val="en-US" w:eastAsia="zh-TW"/>
              </w:rPr>
            </w:pPr>
            <w:r w:rsidRPr="00A5042B">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uppressAutoHyphens w:val="0"/>
              <w:spacing w:after="200" w:line="276" w:lineRule="auto"/>
              <w:jc w:val="left"/>
              <w:rPr>
                <w:rFonts w:ascii="Candara" w:hAnsi="Candara"/>
              </w:rPr>
            </w:pPr>
          </w:p>
        </w:tc>
      </w:tr>
      <w:tr w:rsidR="00412A7C" w:rsidRPr="00B54668" w:rsidTr="00A5042B">
        <w:trPr>
          <w:trHeight w:val="529"/>
        </w:trPr>
        <w:tc>
          <w:tcPr>
            <w:tcW w:w="10440" w:type="dxa"/>
            <w:gridSpan w:val="4"/>
            <w:tcBorders>
              <w:top w:val="double" w:sz="4" w:space="0" w:color="auto"/>
              <w:bottom w:val="single" w:sz="4" w:space="0" w:color="auto"/>
            </w:tcBorders>
            <w:shd w:val="clear" w:color="auto" w:fill="B8CCE4"/>
            <w:vAlign w:val="center"/>
          </w:tcPr>
          <w:p w:rsidR="00412A7C" w:rsidRPr="00A5042B" w:rsidRDefault="00412A7C" w:rsidP="00A5042B">
            <w:pPr>
              <w:spacing w:line="240" w:lineRule="auto"/>
              <w:contextualSpacing/>
              <w:rPr>
                <w:rFonts w:ascii="Candara" w:hAnsi="Candara"/>
                <w:b/>
              </w:rPr>
            </w:pPr>
            <w:r w:rsidRPr="00A5042B">
              <w:rPr>
                <w:rFonts w:ascii="Candara" w:hAnsi="Candara"/>
                <w:b/>
              </w:rPr>
              <w:t>GENERAL INFORMATION</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Study program in which the course unit is offered</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b/>
                <w:color w:val="548DD4"/>
              </w:rPr>
            </w:pPr>
            <w:r w:rsidRPr="00A5042B">
              <w:rPr>
                <w:rFonts w:ascii="Candara" w:hAnsi="Candara"/>
                <w:lang w:val="de-DE"/>
              </w:rPr>
              <w:t>Deutsche Sprache und Literatur</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title</w:t>
            </w:r>
          </w:p>
        </w:tc>
        <w:tc>
          <w:tcPr>
            <w:tcW w:w="5760" w:type="dxa"/>
            <w:gridSpan w:val="2"/>
            <w:shd w:val="clear" w:color="auto" w:fill="auto"/>
            <w:vAlign w:val="center"/>
          </w:tcPr>
          <w:p w:rsidR="00412A7C" w:rsidRPr="00A5042B" w:rsidRDefault="00CB136B" w:rsidP="00A5042B">
            <w:pPr>
              <w:spacing w:line="240" w:lineRule="auto"/>
              <w:contextualSpacing/>
              <w:jc w:val="left"/>
              <w:rPr>
                <w:rFonts w:ascii="Candara" w:hAnsi="Candara"/>
                <w:b/>
              </w:rPr>
            </w:pPr>
            <w:r>
              <w:rPr>
                <w:rFonts w:ascii="Candara" w:hAnsi="Candara"/>
                <w:b/>
                <w:lang w:val="de-DE"/>
              </w:rPr>
              <w:t>Kontrastive Grammatik im Deutschunterricht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code</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lang w:val="de-DE"/>
              </w:rPr>
              <w:t>N</w:t>
            </w:r>
            <w:r w:rsidR="00E03213">
              <w:rPr>
                <w:rFonts w:ascii="Candara" w:hAnsi="Candara"/>
                <w:lang w:val="de-DE"/>
              </w:rPr>
              <w:t>M005</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Type of course unit</w:t>
            </w:r>
            <w:r w:rsidRPr="00A5042B">
              <w:rPr>
                <w:rStyle w:val="FootnoteReference"/>
                <w:rFonts w:ascii="Candara" w:hAnsi="Candara"/>
              </w:rPr>
              <w:footnoteReference w:id="1"/>
            </w:r>
            <w:r w:rsidRPr="00A5042B">
              <w:rPr>
                <w:rFonts w:ascii="Candara" w:hAnsi="Candara"/>
              </w:rPr>
              <w:t xml:space="preserve"> </w:t>
            </w:r>
          </w:p>
        </w:tc>
        <w:tc>
          <w:tcPr>
            <w:tcW w:w="5760" w:type="dxa"/>
            <w:gridSpan w:val="2"/>
            <w:shd w:val="clear" w:color="auto" w:fill="auto"/>
            <w:vAlign w:val="center"/>
          </w:tcPr>
          <w:p w:rsidR="00412A7C" w:rsidRPr="00A5042B" w:rsidRDefault="00CB136B" w:rsidP="00CB136B">
            <w:pPr>
              <w:spacing w:line="240" w:lineRule="auto"/>
              <w:contextualSpacing/>
              <w:jc w:val="left"/>
              <w:rPr>
                <w:rFonts w:ascii="Candara" w:hAnsi="Candara"/>
                <w:lang w:val="de-DE"/>
              </w:rPr>
            </w:pPr>
            <w:r>
              <w:rPr>
                <w:rFonts w:ascii="Candara" w:hAnsi="Candara"/>
                <w:lang w:val="de-DE"/>
              </w:rPr>
              <w:t>Wahlfach</w:t>
            </w:r>
            <w:r w:rsidR="00412A7C" w:rsidRPr="00A5042B">
              <w:rPr>
                <w:rFonts w:ascii="Candara" w:hAnsi="Candara"/>
                <w:lang w:val="de-DE"/>
              </w:rPr>
              <w:t xml:space="preserve"> (</w:t>
            </w:r>
            <w:r>
              <w:rPr>
                <w:rFonts w:ascii="Candara" w:hAnsi="Candara"/>
                <w:lang w:val="de-DE"/>
              </w:rPr>
              <w:t>Optional</w:t>
            </w:r>
            <w:r w:rsidR="00412A7C" w:rsidRPr="00A5042B">
              <w:rPr>
                <w:rFonts w:ascii="Candara" w:hAnsi="Candara"/>
                <w:lang w:val="de-DE"/>
              </w:rPr>
              <w: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Level of course unit</w:t>
            </w:r>
            <w:r w:rsidRPr="00A5042B">
              <w:rPr>
                <w:rStyle w:val="FootnoteReference"/>
                <w:rFonts w:ascii="Candara" w:hAnsi="Candara"/>
              </w:rPr>
              <w:footnoteReference w:id="2"/>
            </w:r>
          </w:p>
        </w:tc>
        <w:tc>
          <w:tcPr>
            <w:tcW w:w="5760" w:type="dxa"/>
            <w:gridSpan w:val="2"/>
            <w:shd w:val="clear" w:color="auto" w:fill="auto"/>
            <w:vAlign w:val="center"/>
          </w:tcPr>
          <w:p w:rsidR="00412A7C" w:rsidRPr="00CB136B" w:rsidRDefault="00CB136B" w:rsidP="00A5042B">
            <w:pPr>
              <w:spacing w:line="240" w:lineRule="auto"/>
              <w:contextualSpacing/>
              <w:jc w:val="left"/>
              <w:rPr>
                <w:rFonts w:ascii="Candara" w:hAnsi="Candara"/>
                <w:lang w:val="de-DE"/>
              </w:rPr>
            </w:pPr>
            <w:r>
              <w:rPr>
                <w:rFonts w:ascii="Candara" w:hAnsi="Candara"/>
                <w:lang w:val="de-DE"/>
              </w:rPr>
              <w:t>Masterstudium (Master</w:t>
            </w:r>
            <w:r>
              <w:rPr>
                <w:rFonts w:ascii="Candara" w:hAnsi="Candara"/>
                <w:lang w:val="en-US"/>
              </w:rPr>
              <w:t>’s)</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Field of Study (please see ISCED</w:t>
            </w:r>
            <w:r w:rsidRPr="00A5042B">
              <w:rPr>
                <w:rStyle w:val="FootnoteReference"/>
                <w:rFonts w:ascii="Candara" w:hAnsi="Candara"/>
              </w:rPr>
              <w:footnoteReference w:id="3"/>
            </w:r>
            <w:r w:rsidRPr="00A5042B">
              <w:rPr>
                <w:rFonts w:ascii="Candara" w:hAnsi="Candara"/>
              </w:rPr>
              <w:t>)</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0232 Literatur und Sprachwissenschaft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uppressAutoHyphens w:val="0"/>
              <w:spacing w:after="0" w:line="240" w:lineRule="auto"/>
              <w:contextualSpacing/>
              <w:jc w:val="left"/>
              <w:rPr>
                <w:rFonts w:ascii="Candara" w:hAnsi="Candara" w:cs="Arial"/>
                <w:lang w:val="en-US"/>
              </w:rPr>
            </w:pPr>
            <w:r w:rsidRPr="00A5042B">
              <w:rPr>
                <w:rFonts w:ascii="Candara" w:hAnsi="Candara"/>
              </w:rPr>
              <w:t>Semester when the course unit is offered</w:t>
            </w:r>
          </w:p>
        </w:tc>
        <w:tc>
          <w:tcPr>
            <w:tcW w:w="5760" w:type="dxa"/>
            <w:gridSpan w:val="2"/>
            <w:shd w:val="clear" w:color="auto" w:fill="auto"/>
            <w:vAlign w:val="center"/>
          </w:tcPr>
          <w:p w:rsidR="00412A7C" w:rsidRPr="00A5042B" w:rsidRDefault="00CB136B" w:rsidP="00A5042B">
            <w:pPr>
              <w:suppressAutoHyphens w:val="0"/>
              <w:spacing w:after="0" w:line="240" w:lineRule="auto"/>
              <w:contextualSpacing/>
              <w:jc w:val="left"/>
              <w:rPr>
                <w:rFonts w:ascii="Candara" w:hAnsi="Candara" w:cs="Arial"/>
                <w:lang w:val="en-US"/>
              </w:rPr>
            </w:pPr>
            <w:r>
              <w:rPr>
                <w:rFonts w:ascii="Candara" w:hAnsi="Candara" w:cs="Arial"/>
                <w:lang w:val="en-US"/>
              </w:rPr>
              <w:t>Winter</w:t>
            </w:r>
            <w:r w:rsidR="00412A7C" w:rsidRPr="00A5042B">
              <w:rPr>
                <w:rFonts w:ascii="Candara" w:hAnsi="Candara" w:cs="Arial"/>
                <w:lang w:val="en-US"/>
              </w:rPr>
              <w:t>semester</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Year of study (if applicable)</w:t>
            </w:r>
          </w:p>
        </w:tc>
        <w:tc>
          <w:tcPr>
            <w:tcW w:w="5760" w:type="dxa"/>
            <w:gridSpan w:val="2"/>
            <w:tcBorders>
              <w:bottom w:val="single" w:sz="4" w:space="0" w:color="auto"/>
            </w:tcBorders>
            <w:shd w:val="clear" w:color="auto" w:fill="auto"/>
            <w:vAlign w:val="center"/>
          </w:tcPr>
          <w:p w:rsidR="00412A7C" w:rsidRPr="0041703A" w:rsidRDefault="00412A7C" w:rsidP="00CB136B">
            <w:pPr>
              <w:spacing w:line="240" w:lineRule="auto"/>
              <w:contextualSpacing/>
              <w:jc w:val="left"/>
              <w:rPr>
                <w:rFonts w:ascii="Candara" w:hAnsi="Candara"/>
                <w:highlight w:val="cyan"/>
              </w:rPr>
            </w:pP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Number of ECTS allocated</w:t>
            </w:r>
          </w:p>
        </w:tc>
        <w:tc>
          <w:tcPr>
            <w:tcW w:w="5760" w:type="dxa"/>
            <w:gridSpan w:val="2"/>
            <w:tcBorders>
              <w:bottom w:val="single" w:sz="4" w:space="0" w:color="auto"/>
            </w:tcBorders>
            <w:shd w:val="clear" w:color="auto" w:fill="auto"/>
            <w:vAlign w:val="center"/>
          </w:tcPr>
          <w:p w:rsidR="00412A7C" w:rsidRPr="00A5042B" w:rsidRDefault="00CB136B" w:rsidP="00A5042B">
            <w:pPr>
              <w:spacing w:line="240" w:lineRule="auto"/>
              <w:contextualSpacing/>
              <w:jc w:val="left"/>
              <w:rPr>
                <w:rFonts w:ascii="Candara" w:hAnsi="Candara"/>
              </w:rPr>
            </w:pPr>
            <w:r>
              <w:rPr>
                <w:rFonts w:ascii="Candara" w:hAnsi="Candara"/>
              </w:rPr>
              <w:t>3</w:t>
            </w:r>
          </w:p>
        </w:tc>
      </w:tr>
      <w:tr w:rsidR="00412A7C" w:rsidRPr="00412A7C"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lecturer/lecturers</w:t>
            </w:r>
          </w:p>
        </w:tc>
        <w:tc>
          <w:tcPr>
            <w:tcW w:w="5760" w:type="dxa"/>
            <w:gridSpan w:val="2"/>
            <w:tcBorders>
              <w:bottom w:val="single" w:sz="4" w:space="0" w:color="auto"/>
            </w:tcBorders>
            <w:shd w:val="clear" w:color="auto" w:fill="auto"/>
            <w:vAlign w:val="center"/>
          </w:tcPr>
          <w:p w:rsidR="00412A7C" w:rsidRPr="00A5042B" w:rsidRDefault="00BF2A42" w:rsidP="00CB136B">
            <w:pPr>
              <w:spacing w:line="240" w:lineRule="auto"/>
              <w:contextualSpacing/>
              <w:jc w:val="left"/>
              <w:rPr>
                <w:rFonts w:ascii="Candara" w:hAnsi="Candara"/>
              </w:rPr>
            </w:pPr>
            <w:r>
              <w:rPr>
                <w:rFonts w:ascii="Candara" w:hAnsi="Candara"/>
              </w:rPr>
              <w:t>Dr</w:t>
            </w:r>
            <w:r w:rsidRPr="00F74F64">
              <w:rPr>
                <w:rFonts w:ascii="Candara" w:hAnsi="Candara"/>
              </w:rPr>
              <w:t xml:space="preserve"> </w:t>
            </w:r>
            <w:r w:rsidR="00412A7C" w:rsidRPr="00F74F64">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contact person</w:t>
            </w:r>
          </w:p>
        </w:tc>
        <w:tc>
          <w:tcPr>
            <w:tcW w:w="5760" w:type="dxa"/>
            <w:gridSpan w:val="2"/>
            <w:tcBorders>
              <w:bottom w:val="single" w:sz="4" w:space="0" w:color="auto"/>
            </w:tcBorders>
            <w:shd w:val="clear" w:color="auto" w:fill="auto"/>
            <w:vAlign w:val="center"/>
          </w:tcPr>
          <w:p w:rsidR="00412A7C" w:rsidRPr="00A5042B" w:rsidRDefault="00BF2A42" w:rsidP="00A5042B">
            <w:pPr>
              <w:spacing w:line="240" w:lineRule="auto"/>
              <w:contextualSpacing/>
              <w:jc w:val="left"/>
              <w:rPr>
                <w:rFonts w:ascii="Candara" w:hAnsi="Candara"/>
              </w:rPr>
            </w:pPr>
            <w:r>
              <w:rPr>
                <w:rFonts w:ascii="Candara" w:hAnsi="Candara"/>
              </w:rPr>
              <w:t>Dr</w:t>
            </w:r>
            <w:r w:rsidRPr="00A5042B">
              <w:rPr>
                <w:rFonts w:ascii="Candara" w:hAnsi="Candara"/>
              </w:rPr>
              <w:t xml:space="preserve"> </w:t>
            </w:r>
            <w:r w:rsidR="00412A7C" w:rsidRPr="00A5042B">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Mode of course unit delivery</w:t>
            </w:r>
            <w:r w:rsidRPr="00A5042B">
              <w:rPr>
                <w:rStyle w:val="FootnoteReference"/>
                <w:rFonts w:ascii="Candara" w:hAnsi="Candara"/>
              </w:rPr>
              <w:footnoteReference w:id="4"/>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Face-to-face</w:t>
            </w:r>
          </w:p>
        </w:tc>
      </w:tr>
      <w:tr w:rsidR="00412A7C" w:rsidRPr="00A5042B"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pre-requisites (e.g. level of language required, etc)</w:t>
            </w:r>
          </w:p>
        </w:tc>
        <w:tc>
          <w:tcPr>
            <w:tcW w:w="5760" w:type="dxa"/>
            <w:gridSpan w:val="2"/>
            <w:tcBorders>
              <w:bottom w:val="single" w:sz="4" w:space="0" w:color="auto"/>
            </w:tcBorders>
            <w:shd w:val="clear" w:color="auto" w:fill="auto"/>
            <w:vAlign w:val="center"/>
          </w:tcPr>
          <w:p w:rsidR="00412A7C" w:rsidRPr="0041703A" w:rsidRDefault="0096606C" w:rsidP="00A5042B">
            <w:pPr>
              <w:spacing w:line="240" w:lineRule="auto"/>
              <w:contextualSpacing/>
              <w:rPr>
                <w:rFonts w:ascii="Candara" w:hAnsi="Candara"/>
                <w:highlight w:val="cyan"/>
                <w:lang w:val="de-DE"/>
              </w:rPr>
            </w:pPr>
            <w:r w:rsidRPr="0096606C">
              <w:rPr>
                <w:rFonts w:ascii="Candara" w:hAnsi="Candara"/>
                <w:lang w:val="de-DE"/>
              </w:rPr>
              <w:t>Keine</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t>PURPOSE AND OVERVIEW (max 5-10 sentences)</w:t>
            </w:r>
          </w:p>
        </w:tc>
      </w:tr>
      <w:tr w:rsidR="00412A7C" w:rsidRPr="00A5042B" w:rsidTr="00A5042B">
        <w:trPr>
          <w:trHeight w:val="562"/>
        </w:trPr>
        <w:tc>
          <w:tcPr>
            <w:tcW w:w="10440" w:type="dxa"/>
            <w:gridSpan w:val="4"/>
            <w:shd w:val="clear" w:color="auto" w:fill="auto"/>
            <w:vAlign w:val="center"/>
          </w:tcPr>
          <w:p w:rsidR="00A5042B" w:rsidRPr="00E9083C" w:rsidRDefault="00E9083C" w:rsidP="00A5042B">
            <w:pPr>
              <w:spacing w:line="240" w:lineRule="auto"/>
              <w:contextualSpacing/>
              <w:rPr>
                <w:rFonts w:ascii="Candara" w:hAnsi="Candara"/>
                <w:lang w:val="de-DE"/>
              </w:rPr>
            </w:pPr>
            <w:r w:rsidRPr="00E9083C">
              <w:rPr>
                <w:rFonts w:ascii="Candara" w:hAnsi="Candara"/>
                <w:lang w:val="de-DE" w:eastAsia="sr-Latn-CS"/>
              </w:rPr>
              <w:t>Erwerb von theoretischen und praktischen Kenntnissen über die Arten deutscher Haupt- und Nebensätze, die Wortstellung im Haupt- und Nebensatz, über Satzmodelle und Satzbaupläne sowie über die Valenz der Verben, Substantive und Adjektive. Vertrautmachung mit den Valenzwörterbüchern zwecks Gebrauch in der Unterrichtspraxis. Befähigung der Studenten zur Anwendung der beschriebenen Kenntnisse im Rahmen der schriftlichen und mündlichen Kommunikation.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t>LEARNING OUTCOMES (knowledge and skills)</w:t>
            </w:r>
          </w:p>
        </w:tc>
      </w:tr>
      <w:tr w:rsidR="00412A7C" w:rsidRPr="00A5042B" w:rsidTr="00A5042B">
        <w:trPr>
          <w:trHeight w:val="562"/>
        </w:trPr>
        <w:tc>
          <w:tcPr>
            <w:tcW w:w="10440" w:type="dxa"/>
            <w:gridSpan w:val="4"/>
            <w:shd w:val="clear" w:color="auto" w:fill="auto"/>
            <w:vAlign w:val="center"/>
          </w:tcPr>
          <w:p w:rsidR="00A5042B" w:rsidRPr="0027145D" w:rsidRDefault="0027145D" w:rsidP="00A5042B">
            <w:pPr>
              <w:widowControl w:val="0"/>
              <w:suppressAutoHyphens w:val="0"/>
              <w:autoSpaceDE w:val="0"/>
              <w:autoSpaceDN w:val="0"/>
              <w:adjustRightInd w:val="0"/>
              <w:spacing w:after="0" w:line="240" w:lineRule="auto"/>
              <w:rPr>
                <w:rFonts w:ascii="Candara" w:hAnsi="Candara"/>
                <w:lang w:val="de-DE" w:eastAsia="sr-Latn-CS"/>
              </w:rPr>
            </w:pPr>
            <w:r w:rsidRPr="0027145D">
              <w:rPr>
                <w:rFonts w:ascii="Candara" w:hAnsi="Candara"/>
                <w:lang w:val="de-DE"/>
              </w:rPr>
              <w:lastRenderedPageBreak/>
              <w:t>Die Studierenden verfügen über ein vertiefendes Wissen aus dem Bereich der Kontrastiven Grammatik und sind imstande, ihr Wissen bei der Arbeit mit Schülern im Deutschunterricht anzuwenden.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SYLLABUS (outline and summary of topics)</w:t>
            </w:r>
          </w:p>
        </w:tc>
      </w:tr>
      <w:tr w:rsidR="00412A7C" w:rsidRPr="00A5042B" w:rsidTr="00A5042B">
        <w:trPr>
          <w:trHeight w:val="562"/>
        </w:trPr>
        <w:tc>
          <w:tcPr>
            <w:tcW w:w="10440" w:type="dxa"/>
            <w:gridSpan w:val="4"/>
            <w:shd w:val="clear" w:color="auto" w:fill="auto"/>
            <w:vAlign w:val="center"/>
          </w:tcPr>
          <w:p w:rsidR="0027145D" w:rsidRPr="0027145D" w:rsidRDefault="0027145D" w:rsidP="0027145D">
            <w:pPr>
              <w:widowControl w:val="0"/>
              <w:suppressAutoHyphens w:val="0"/>
              <w:autoSpaceDE w:val="0"/>
              <w:autoSpaceDN w:val="0"/>
              <w:adjustRightInd w:val="0"/>
              <w:spacing w:after="0" w:line="240" w:lineRule="auto"/>
              <w:rPr>
                <w:rFonts w:ascii="Candara" w:hAnsi="Candara"/>
                <w:lang w:val="de-DE" w:eastAsia="sr-Latn-CS"/>
              </w:rPr>
            </w:pPr>
            <w:r w:rsidRPr="0027145D">
              <w:rPr>
                <w:rFonts w:ascii="Candara" w:hAnsi="Candara"/>
                <w:lang w:val="de-DE" w:eastAsia="sr-Latn-CS"/>
              </w:rPr>
              <w:t>Theoretische Vorlesungen</w:t>
            </w:r>
          </w:p>
          <w:p w:rsidR="0027145D" w:rsidRDefault="0027145D" w:rsidP="0027145D">
            <w:pPr>
              <w:widowControl w:val="0"/>
              <w:suppressAutoHyphens w:val="0"/>
              <w:autoSpaceDE w:val="0"/>
              <w:autoSpaceDN w:val="0"/>
              <w:adjustRightInd w:val="0"/>
              <w:spacing w:after="0" w:line="240" w:lineRule="auto"/>
              <w:rPr>
                <w:rFonts w:ascii="Candara" w:hAnsi="Candara"/>
                <w:szCs w:val="22"/>
                <w:lang w:val="sr-Latn-CS" w:eastAsia="sr-Latn-CS"/>
              </w:rPr>
            </w:pPr>
            <w:r w:rsidRPr="0027145D">
              <w:rPr>
                <w:rFonts w:ascii="Candara" w:hAnsi="Candara"/>
                <w:lang w:val="de-DE" w:eastAsia="sr-Latn-CS"/>
              </w:rPr>
              <w:t xml:space="preserve">Grammatik im Fremdsprachenunterricht – historischer Überblick. Grammatik-Übersetzungsmethode als Lernmethode der deutschen Sprache.  Befürworter und Kritiker der Anwendung der Grammatik im Fremdsprachenunterricht. </w:t>
            </w:r>
            <w:r w:rsidRPr="0027145D">
              <w:rPr>
                <w:rFonts w:ascii="Candara" w:hAnsi="Candara"/>
                <w:szCs w:val="22"/>
                <w:lang w:val="sr-Latn-CS" w:eastAsia="sr-Latn-CS"/>
              </w:rPr>
              <w:t>Stellenwert der Grammatikvermittlung im modernen Deutschunterricht. Kontrastive Grammatik im Fremdsprachenunterricht (insbes. im Deutschunterricht). Kontrastiv-grammatisches Dillema in deutscher und serbischer Sprache. Positiver und negativer Transfer. Neue Ansätze und Methoden im Grammatikunterricht der deutschen Sprache. Schulgrammatik. Induktives und explizites Grammatiklernen. Einsatz didaktischer Mittel beim Vorstellen der kontrastiven Grammatik im Rahmen des Unterrichts. Grammatikwissen vs. Wissen über Grammatik.</w:t>
            </w:r>
          </w:p>
          <w:p w:rsidR="005F10FF" w:rsidRPr="0027145D" w:rsidRDefault="005F10FF" w:rsidP="0027145D">
            <w:pPr>
              <w:widowControl w:val="0"/>
              <w:suppressAutoHyphens w:val="0"/>
              <w:autoSpaceDE w:val="0"/>
              <w:autoSpaceDN w:val="0"/>
              <w:adjustRightInd w:val="0"/>
              <w:spacing w:after="0" w:line="240" w:lineRule="auto"/>
              <w:rPr>
                <w:rFonts w:ascii="Candara" w:hAnsi="Candara"/>
                <w:lang w:val="de-DE" w:eastAsia="sr-Latn-CS"/>
              </w:rPr>
            </w:pPr>
          </w:p>
          <w:p w:rsidR="0027145D" w:rsidRPr="0027145D" w:rsidRDefault="0027145D" w:rsidP="0027145D">
            <w:pPr>
              <w:widowControl w:val="0"/>
              <w:suppressAutoHyphens w:val="0"/>
              <w:autoSpaceDE w:val="0"/>
              <w:autoSpaceDN w:val="0"/>
              <w:adjustRightInd w:val="0"/>
              <w:spacing w:after="0" w:line="240" w:lineRule="auto"/>
              <w:rPr>
                <w:rFonts w:ascii="Candara" w:hAnsi="Candara"/>
                <w:lang w:val="de-DE" w:eastAsia="sr-Latn-CS"/>
              </w:rPr>
            </w:pPr>
            <w:r w:rsidRPr="0027145D">
              <w:rPr>
                <w:rFonts w:ascii="Candara" w:hAnsi="Candara"/>
                <w:lang w:val="de-DE" w:eastAsia="sr-Latn-CS"/>
              </w:rPr>
              <w:t>Praktischer Unterricht</w:t>
            </w:r>
          </w:p>
          <w:p w:rsidR="00412A7C" w:rsidRPr="00A5042B" w:rsidRDefault="0027145D" w:rsidP="0027145D">
            <w:pPr>
              <w:tabs>
                <w:tab w:val="left" w:pos="360"/>
              </w:tabs>
              <w:spacing w:after="0" w:line="240" w:lineRule="auto"/>
              <w:rPr>
                <w:rFonts w:ascii="Candara" w:hAnsi="Candara"/>
                <w:b/>
                <w:lang w:val="de-DE"/>
              </w:rPr>
            </w:pPr>
            <w:r w:rsidRPr="0027145D">
              <w:rPr>
                <w:rFonts w:ascii="Candara" w:hAnsi="Candara"/>
                <w:lang w:val="de-DE" w:eastAsia="sr-Latn-CS"/>
              </w:rPr>
              <w:t>Im Rahmen der Übungen werden morphosyntaktische Strukturen im Deutschen und Serbischen eingeübt und analysiert, um diese besser den Schülern präsentieren zu können.</w:t>
            </w:r>
            <w:r w:rsidRPr="0027145D">
              <w:rPr>
                <w:rFonts w:ascii="Times New Roman" w:hAnsi="Times New Roman"/>
                <w:lang w:val="de-DE" w:eastAsia="sr-Latn-CS"/>
              </w:rPr>
              <w:t xml:space="preserve">    </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after="0" w:line="240" w:lineRule="auto"/>
              <w:contextualSpacing/>
              <w:jc w:val="left"/>
              <w:rPr>
                <w:rFonts w:ascii="Candara" w:hAnsi="Candara"/>
              </w:rPr>
            </w:pPr>
            <w:r w:rsidRPr="00A5042B">
              <w:rPr>
                <w:rFonts w:ascii="Candara" w:hAnsi="Candara"/>
                <w:b/>
              </w:rPr>
              <w:t>LEARNING AND TEACHING (</w:t>
            </w:r>
            <w:r w:rsidRPr="00A5042B">
              <w:rPr>
                <w:rFonts w:ascii="Candara" w:hAnsi="Candara"/>
              </w:rPr>
              <w:t xml:space="preserve">planned learning activities and teaching methods) </w:t>
            </w:r>
          </w:p>
        </w:tc>
      </w:tr>
      <w:tr w:rsidR="00412A7C" w:rsidRPr="00A5042B" w:rsidTr="00A5042B">
        <w:trPr>
          <w:trHeight w:val="562"/>
        </w:trPr>
        <w:tc>
          <w:tcPr>
            <w:tcW w:w="10440" w:type="dxa"/>
            <w:gridSpan w:val="4"/>
            <w:shd w:val="clear" w:color="auto" w:fill="auto"/>
            <w:vAlign w:val="center"/>
          </w:tcPr>
          <w:p w:rsidR="00412A7C" w:rsidRPr="0027145D" w:rsidRDefault="0027145D" w:rsidP="004E2DD4">
            <w:pPr>
              <w:spacing w:after="0" w:line="240" w:lineRule="auto"/>
              <w:contextualSpacing/>
              <w:rPr>
                <w:rFonts w:ascii="Candara" w:hAnsi="Candara"/>
                <w:b/>
                <w:lang w:val="de-DE"/>
              </w:rPr>
            </w:pPr>
            <w:r w:rsidRPr="0027145D">
              <w:rPr>
                <w:rFonts w:ascii="Candara" w:hAnsi="Candara"/>
                <w:lang w:val="de-DE" w:eastAsia="sr-Latn-CS"/>
              </w:rPr>
              <w:t>Vorlesungen, Übungen, Einzelarbeit, Partnerarbeit und Gruppenarbeit.</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contextualSpacing/>
              <w:jc w:val="left"/>
              <w:rPr>
                <w:rFonts w:ascii="Candara" w:hAnsi="Candara"/>
                <w:b/>
              </w:rPr>
            </w:pPr>
            <w:r w:rsidRPr="00A5042B">
              <w:rPr>
                <w:rFonts w:ascii="Candara" w:hAnsi="Candara"/>
                <w:b/>
              </w:rPr>
              <w:t>REQUIRED READING</w:t>
            </w:r>
          </w:p>
        </w:tc>
      </w:tr>
      <w:tr w:rsidR="00412A7C" w:rsidRPr="00F61FA5" w:rsidTr="00A5042B">
        <w:trPr>
          <w:trHeight w:val="562"/>
        </w:trPr>
        <w:tc>
          <w:tcPr>
            <w:tcW w:w="10440" w:type="dxa"/>
            <w:gridSpan w:val="4"/>
            <w:shd w:val="clear" w:color="auto" w:fill="auto"/>
            <w:vAlign w:val="center"/>
          </w:tcPr>
          <w:p w:rsidR="00A1009B" w:rsidRDefault="0027145D" w:rsidP="00F61FA5">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Engel, Ulrich et al. (2012): </w:t>
            </w:r>
            <w:r>
              <w:rPr>
                <w:rFonts w:ascii="Candara" w:hAnsi="Candara"/>
                <w:i/>
                <w:lang w:val="de-DE"/>
              </w:rPr>
              <w:t>Deutsch-serbische kontrastive Grammatik: Teil 1: Der Satz.</w:t>
            </w:r>
            <w:r>
              <w:rPr>
                <w:rFonts w:ascii="Candara" w:hAnsi="Candara"/>
                <w:lang w:val="de-DE"/>
              </w:rPr>
              <w:t xml:space="preserve"> </w:t>
            </w:r>
            <w:r w:rsidR="0049393C">
              <w:rPr>
                <w:rFonts w:ascii="Candara" w:hAnsi="Candara"/>
                <w:lang w:val="de-DE"/>
              </w:rPr>
              <w:t>München / Washington DC: Otto Sagner.</w:t>
            </w:r>
          </w:p>
          <w:p w:rsidR="0027145D" w:rsidRDefault="0027145D" w:rsidP="00F61FA5">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rPr>
              <w:t xml:space="preserve">Alanović, Milivoj et al. (2014): </w:t>
            </w:r>
            <w:r w:rsidRPr="0027145D">
              <w:rPr>
                <w:rFonts w:ascii="Candara" w:hAnsi="Candara"/>
                <w:i/>
                <w:lang w:val="de-DE"/>
              </w:rPr>
              <w:t>Deutsch-serbische kontrastive Grammatik. Teil 2: Das Nomen und der nominale Bereich</w:t>
            </w:r>
            <w:r>
              <w:rPr>
                <w:rFonts w:ascii="Candara" w:hAnsi="Candara"/>
                <w:lang w:val="de-DE"/>
              </w:rPr>
              <w:t xml:space="preserve">. </w:t>
            </w:r>
            <w:r w:rsidR="0049393C">
              <w:rPr>
                <w:rFonts w:ascii="Candara" w:hAnsi="Candara"/>
                <w:lang w:val="de-DE"/>
              </w:rPr>
              <w:t>München / Washington DC: Otto Sagner.</w:t>
            </w:r>
          </w:p>
          <w:p w:rsidR="0027145D" w:rsidRDefault="0027145D" w:rsidP="00F61FA5">
            <w:pPr>
              <w:pStyle w:val="ListParagraph"/>
              <w:numPr>
                <w:ilvl w:val="0"/>
                <w:numId w:val="1"/>
              </w:numPr>
              <w:tabs>
                <w:tab w:val="left" w:pos="360"/>
              </w:tabs>
              <w:spacing w:after="0" w:line="240" w:lineRule="auto"/>
              <w:ind w:left="612" w:hanging="252"/>
              <w:rPr>
                <w:rFonts w:ascii="Candara" w:hAnsi="Candara"/>
                <w:lang w:val="de-DE"/>
              </w:rPr>
            </w:pPr>
            <w:r w:rsidRPr="0027145D">
              <w:rPr>
                <w:rFonts w:ascii="Candara" w:hAnsi="Candara"/>
                <w:lang/>
              </w:rPr>
              <w:t xml:space="preserve">Alanović, Milivoj et al. (2014): </w:t>
            </w:r>
            <w:r w:rsidRPr="0027145D">
              <w:rPr>
                <w:rFonts w:ascii="Candara" w:hAnsi="Candara"/>
                <w:i/>
                <w:lang w:val="de-DE"/>
              </w:rPr>
              <w:t>Deutsch-serbische kontrastive Grammatik. Teil</w:t>
            </w:r>
            <w:r>
              <w:rPr>
                <w:rFonts w:ascii="Candara" w:hAnsi="Candara"/>
                <w:i/>
                <w:lang w:val="de-DE"/>
              </w:rPr>
              <w:t xml:space="preserve"> 3: Das Verb.</w:t>
            </w:r>
            <w:r>
              <w:rPr>
                <w:rFonts w:ascii="Candara" w:hAnsi="Candara"/>
                <w:lang w:val="de-DE"/>
              </w:rPr>
              <w:t xml:space="preserve"> München / Washington DC</w:t>
            </w:r>
            <w:r w:rsidR="0049393C">
              <w:rPr>
                <w:rFonts w:ascii="Candara" w:hAnsi="Candara"/>
                <w:lang w:val="de-DE"/>
              </w:rPr>
              <w:t>: Otto Sagner.</w:t>
            </w:r>
          </w:p>
          <w:p w:rsidR="0027145D" w:rsidRDefault="0027145D" w:rsidP="00F61FA5">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Moser, Hugo (1970): </w:t>
            </w:r>
            <w:r>
              <w:rPr>
                <w:rFonts w:ascii="Candara" w:hAnsi="Candara"/>
                <w:i/>
                <w:lang w:val="de-DE"/>
              </w:rPr>
              <w:t>Probleme der kontrastiven Grammatik. Sprache der Gegenwart VIII.</w:t>
            </w:r>
            <w:r>
              <w:rPr>
                <w:rFonts w:ascii="Candara" w:hAnsi="Candara"/>
                <w:lang w:val="de-DE"/>
              </w:rPr>
              <w:t xml:space="preserve"> </w:t>
            </w:r>
            <w:r w:rsidR="0049393C">
              <w:rPr>
                <w:rFonts w:ascii="Candara" w:hAnsi="Candara"/>
                <w:lang w:val="de-DE"/>
              </w:rPr>
              <w:t xml:space="preserve">Düsseldorf: </w:t>
            </w:r>
            <w:r>
              <w:rPr>
                <w:rFonts w:ascii="Candara" w:hAnsi="Candara"/>
                <w:lang w:val="de-DE"/>
              </w:rPr>
              <w:t>Schwann.</w:t>
            </w:r>
          </w:p>
          <w:p w:rsidR="0027145D" w:rsidRDefault="0027145D" w:rsidP="00F61FA5">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Helbig, Gerhard (1981): </w:t>
            </w:r>
            <w:r>
              <w:rPr>
                <w:rFonts w:ascii="Candara" w:hAnsi="Candara"/>
                <w:i/>
                <w:lang w:val="de-DE"/>
              </w:rPr>
              <w:t>Sprachwissenschaft, Konfrontation, Fremdsprachenunterricht</w:t>
            </w:r>
            <w:r>
              <w:rPr>
                <w:rFonts w:ascii="Candara" w:hAnsi="Candara"/>
                <w:lang w:val="de-DE"/>
              </w:rPr>
              <w:t xml:space="preserve">. </w:t>
            </w:r>
            <w:r w:rsidR="0049393C">
              <w:rPr>
                <w:rFonts w:ascii="Candara" w:hAnsi="Candara"/>
                <w:lang w:val="de-DE"/>
              </w:rPr>
              <w:t xml:space="preserve">Leipzig: </w:t>
            </w:r>
            <w:r>
              <w:rPr>
                <w:rFonts w:ascii="Candara" w:hAnsi="Candara"/>
                <w:lang w:val="de-DE"/>
              </w:rPr>
              <w:t>Verlag Enzyklopädie.</w:t>
            </w:r>
          </w:p>
          <w:p w:rsidR="0027145D" w:rsidRPr="004B6D8F" w:rsidRDefault="0027145D" w:rsidP="004B6D8F">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rPr>
              <w:t>Лон</w:t>
            </w:r>
            <w:r w:rsidR="004B6D8F">
              <w:rPr>
                <w:rFonts w:ascii="Candara" w:hAnsi="Candara"/>
                <w:lang/>
              </w:rPr>
              <w:t>ч</w:t>
            </w:r>
            <w:r>
              <w:rPr>
                <w:rFonts w:ascii="Candara" w:hAnsi="Candara"/>
                <w:lang/>
              </w:rPr>
              <w:t>аревић,</w:t>
            </w:r>
            <w:r w:rsidR="004B6D8F">
              <w:rPr>
                <w:rFonts w:ascii="Candara" w:hAnsi="Candara"/>
                <w:lang/>
              </w:rPr>
              <w:t xml:space="preserve"> Мира / Суботић, Љиљана (2010): Улога Граматике у настави страног језика. У: </w:t>
            </w:r>
            <w:r w:rsidR="004B6D8F">
              <w:rPr>
                <w:rFonts w:ascii="Candara" w:hAnsi="Candara"/>
                <w:i/>
                <w:lang/>
              </w:rPr>
              <w:t xml:space="preserve">Норма. </w:t>
            </w:r>
            <w:r w:rsidR="004B6D8F">
              <w:rPr>
                <w:rFonts w:ascii="Candara" w:hAnsi="Candara"/>
                <w:i/>
                <w:lang/>
              </w:rPr>
              <w:t>XV, 1/2010.</w:t>
            </w:r>
            <w:r w:rsidR="004B6D8F">
              <w:rPr>
                <w:rFonts w:ascii="Candara" w:hAnsi="Candara"/>
                <w:lang/>
              </w:rPr>
              <w:t xml:space="preserve"> </w:t>
            </w:r>
            <w:r w:rsidR="0049393C">
              <w:rPr>
                <w:rFonts w:ascii="Candara" w:hAnsi="Candara"/>
                <w:lang/>
              </w:rPr>
              <w:t>Сомбор</w:t>
            </w:r>
            <w:r w:rsidR="0049393C">
              <w:rPr>
                <w:rFonts w:ascii="Candara" w:hAnsi="Candara"/>
                <w:lang w:val="de-DE"/>
              </w:rPr>
              <w:t>:</w:t>
            </w:r>
            <w:r w:rsidR="0049393C">
              <w:rPr>
                <w:rFonts w:ascii="Candara" w:hAnsi="Candara"/>
                <w:lang/>
              </w:rPr>
              <w:t xml:space="preserve"> </w:t>
            </w:r>
            <w:r w:rsidR="004B6D8F">
              <w:rPr>
                <w:rFonts w:ascii="Candara" w:hAnsi="Candara"/>
                <w:lang/>
              </w:rPr>
              <w:t>Педагошки факултет, 61-78.</w:t>
            </w:r>
          </w:p>
          <w:p w:rsidR="004B6D8F" w:rsidRDefault="004B6D8F" w:rsidP="004B6D8F">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Bleyhl, Warner (1995): Nicht Grammatik, sondern Sprache! In: </w:t>
            </w:r>
            <w:r>
              <w:rPr>
                <w:rFonts w:ascii="Candara" w:hAnsi="Candara"/>
                <w:i/>
                <w:lang w:val="de-DE"/>
              </w:rPr>
              <w:t>Der fremdsprachliche Unterricht, Englisch. 29. Heft 19.</w:t>
            </w:r>
            <w:r>
              <w:rPr>
                <w:rFonts w:ascii="Candara" w:hAnsi="Candara"/>
                <w:lang w:val="de-DE"/>
              </w:rPr>
              <w:t xml:space="preserve"> </w:t>
            </w:r>
            <w:r w:rsidR="0049393C">
              <w:rPr>
                <w:rFonts w:ascii="Candara" w:hAnsi="Candara"/>
                <w:lang w:val="de-DE"/>
              </w:rPr>
              <w:t xml:space="preserve">Wiesbaden: </w:t>
            </w:r>
            <w:r>
              <w:rPr>
                <w:rFonts w:ascii="Candara" w:hAnsi="Candara"/>
                <w:lang w:val="de-DE"/>
              </w:rPr>
              <w:t>Hessisches Landesinstitut für Pädagogik, 14-19.</w:t>
            </w:r>
          </w:p>
          <w:p w:rsidR="004B6D8F" w:rsidRDefault="004B6D8F" w:rsidP="004B6D8F">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Göetze, Lutz (Hrsg.) (1993): </w:t>
            </w:r>
            <w:r>
              <w:rPr>
                <w:rFonts w:ascii="Candara" w:hAnsi="Candara"/>
                <w:i/>
                <w:lang w:val="de-DE"/>
              </w:rPr>
              <w:t xml:space="preserve">Fremdsprache Deutsch: Lebendiges Grammatiklernen. Heft 09/1993. </w:t>
            </w:r>
            <w:r w:rsidR="0049393C">
              <w:rPr>
                <w:rFonts w:ascii="Candara" w:hAnsi="Candara"/>
                <w:lang w:val="de-DE"/>
              </w:rPr>
              <w:t xml:space="preserve">Stuttgart: </w:t>
            </w:r>
            <w:r>
              <w:rPr>
                <w:rFonts w:ascii="Candara" w:hAnsi="Candara"/>
                <w:lang w:val="de-DE"/>
              </w:rPr>
              <w:t>Ernst Klett.</w:t>
            </w:r>
          </w:p>
          <w:p w:rsidR="004B6D8F" w:rsidRDefault="004B6D8F" w:rsidP="004B6D8F">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Welke, Klaus (2013): Konstruktionsgrammatik (KxG) und Deutsch als Fremdsprache (DaF). In: </w:t>
            </w:r>
            <w:r>
              <w:rPr>
                <w:rFonts w:ascii="Candara" w:hAnsi="Candara"/>
                <w:i/>
                <w:lang w:val="de-DE"/>
              </w:rPr>
              <w:t>Deutsch als Fremdsprache. 50, Heft 1.</w:t>
            </w:r>
            <w:r>
              <w:rPr>
                <w:rFonts w:ascii="Candara" w:hAnsi="Candara"/>
                <w:lang w:val="de-DE"/>
              </w:rPr>
              <w:t xml:space="preserve"> </w:t>
            </w:r>
            <w:r w:rsidR="0049393C">
              <w:rPr>
                <w:rFonts w:ascii="Candara" w:hAnsi="Candara"/>
                <w:lang w:val="de-DE"/>
              </w:rPr>
              <w:t xml:space="preserve">Marburg: </w:t>
            </w:r>
            <w:r>
              <w:rPr>
                <w:rFonts w:ascii="Candara" w:hAnsi="Candara"/>
                <w:lang w:val="de-DE"/>
              </w:rPr>
              <w:t>Informa</w:t>
            </w:r>
            <w:r w:rsidR="0041703A">
              <w:rPr>
                <w:rFonts w:ascii="Candara" w:hAnsi="Candara"/>
                <w:lang w:val="de-DE"/>
              </w:rPr>
              <w:t>tionszentrum für Fremdsprachenfo</w:t>
            </w:r>
            <w:r>
              <w:rPr>
                <w:rFonts w:ascii="Candara" w:hAnsi="Candara"/>
                <w:lang w:val="de-DE"/>
              </w:rPr>
              <w:t>rschung, 19-27.</w:t>
            </w:r>
          </w:p>
          <w:p w:rsidR="004B6D8F" w:rsidRDefault="004B6D8F" w:rsidP="004B6D8F">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Gross, Harro / Fischer, Klaus (Hrsg.) (1990): </w:t>
            </w:r>
            <w:r>
              <w:rPr>
                <w:rFonts w:ascii="Candara" w:hAnsi="Candara"/>
                <w:i/>
                <w:lang w:val="de-DE"/>
              </w:rPr>
              <w:t>Grammatikarbeit im Deutsch-als-Fremdsprache-Unterricht</w:t>
            </w:r>
            <w:r>
              <w:rPr>
                <w:rFonts w:ascii="Candara" w:hAnsi="Candara"/>
                <w:lang w:val="de-DE"/>
              </w:rPr>
              <w:t xml:space="preserve">. </w:t>
            </w:r>
            <w:r w:rsidR="0049393C">
              <w:rPr>
                <w:rFonts w:ascii="Candara" w:hAnsi="Candara"/>
                <w:lang w:val="de-DE"/>
              </w:rPr>
              <w:t>München: Iudicium</w:t>
            </w:r>
            <w:r>
              <w:rPr>
                <w:rFonts w:ascii="Candara" w:hAnsi="Candara"/>
                <w:lang w:val="de-DE"/>
              </w:rPr>
              <w:t>.</w:t>
            </w:r>
          </w:p>
          <w:p w:rsidR="004B6D8F" w:rsidRPr="00F61FA5" w:rsidRDefault="004B6D8F" w:rsidP="0049393C">
            <w:pPr>
              <w:pStyle w:val="ListParagraph"/>
              <w:numPr>
                <w:ilvl w:val="0"/>
                <w:numId w:val="1"/>
              </w:numPr>
              <w:tabs>
                <w:tab w:val="left" w:pos="360"/>
              </w:tabs>
              <w:spacing w:after="0" w:line="240" w:lineRule="auto"/>
              <w:ind w:left="612" w:hanging="252"/>
              <w:rPr>
                <w:rFonts w:ascii="Candara" w:hAnsi="Candara"/>
                <w:lang w:val="de-DE"/>
              </w:rPr>
            </w:pPr>
            <w:r>
              <w:rPr>
                <w:rFonts w:ascii="Candara" w:hAnsi="Candara"/>
                <w:lang w:val="de-DE"/>
              </w:rPr>
              <w:t xml:space="preserve">Heyd, Gertraude (1993): Grammatik und Fremdsprachenunterricht. In: </w:t>
            </w:r>
            <w:r>
              <w:rPr>
                <w:rFonts w:ascii="Candara" w:hAnsi="Candara"/>
                <w:i/>
                <w:lang w:val="de-DE"/>
              </w:rPr>
              <w:t>Deutsch lehren: Grundwissen für den Unterricht in Deutsch als Fremdsprache.</w:t>
            </w:r>
            <w:r>
              <w:rPr>
                <w:rFonts w:ascii="Candara" w:hAnsi="Candara"/>
                <w:lang w:val="de-DE"/>
              </w:rPr>
              <w:t xml:space="preserve"> </w:t>
            </w:r>
            <w:r w:rsidR="0049393C">
              <w:rPr>
                <w:rFonts w:ascii="Candara" w:hAnsi="Candara"/>
                <w:lang w:val="de-DE"/>
              </w:rPr>
              <w:t xml:space="preserve">Frankfurt/Main: </w:t>
            </w:r>
            <w:r>
              <w:rPr>
                <w:rFonts w:ascii="Candara" w:hAnsi="Candara"/>
                <w:lang w:val="de-DE"/>
              </w:rPr>
              <w:t>Verlag Moritz Diesterweg, 163-184.</w:t>
            </w:r>
          </w:p>
        </w:tc>
      </w:tr>
      <w:tr w:rsidR="00412A7C" w:rsidRPr="00F61FA5" w:rsidTr="00A5042B">
        <w:trPr>
          <w:trHeight w:val="562"/>
        </w:trPr>
        <w:tc>
          <w:tcPr>
            <w:tcW w:w="10440" w:type="dxa"/>
            <w:gridSpan w:val="4"/>
            <w:shd w:val="clear" w:color="auto" w:fill="B8CCE4"/>
            <w:vAlign w:val="center"/>
          </w:tcPr>
          <w:p w:rsidR="00412A7C" w:rsidRPr="00F61FA5" w:rsidRDefault="00412A7C" w:rsidP="00A5042B">
            <w:pPr>
              <w:tabs>
                <w:tab w:val="left" w:pos="360"/>
              </w:tabs>
              <w:spacing w:after="0" w:line="240" w:lineRule="auto"/>
              <w:jc w:val="left"/>
              <w:rPr>
                <w:rFonts w:ascii="Candara" w:hAnsi="Candara"/>
                <w:b/>
                <w:lang w:val="de-DE"/>
              </w:rPr>
            </w:pPr>
            <w:r w:rsidRPr="00F61FA5">
              <w:rPr>
                <w:rFonts w:ascii="Candara" w:hAnsi="Candara"/>
                <w:b/>
                <w:lang w:val="de-DE"/>
              </w:rPr>
              <w:t>ASSESSMENT METHODS AND CRITERIA</w:t>
            </w:r>
          </w:p>
        </w:tc>
      </w:tr>
      <w:tr w:rsidR="00412A7C" w:rsidRPr="00B54668" w:rsidTr="00A5042B">
        <w:trPr>
          <w:trHeight w:val="562"/>
        </w:trPr>
        <w:tc>
          <w:tcPr>
            <w:tcW w:w="10440" w:type="dxa"/>
            <w:gridSpan w:val="4"/>
            <w:shd w:val="clear" w:color="auto" w:fill="auto"/>
            <w:vAlign w:val="center"/>
          </w:tcPr>
          <w:tbl>
            <w:tblPr>
              <w:tblW w:w="10214" w:type="dxa"/>
              <w:tblBorders>
                <w:insideH w:val="single" w:sz="4" w:space="0" w:color="auto"/>
                <w:insideV w:val="single" w:sz="4" w:space="0" w:color="auto"/>
              </w:tblBorders>
              <w:tblLook w:val="04A0"/>
            </w:tblPr>
            <w:tblGrid>
              <w:gridCol w:w="2908"/>
              <w:gridCol w:w="1896"/>
              <w:gridCol w:w="1734"/>
              <w:gridCol w:w="1942"/>
              <w:gridCol w:w="1734"/>
            </w:tblGrid>
            <w:tr w:rsidR="00E9083C" w:rsidRPr="00A1009B" w:rsidTr="00A5042B">
              <w:trPr>
                <w:trHeight w:val="432"/>
              </w:trPr>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Vorprüfungsverpflichtungen</w:t>
                  </w:r>
                </w:p>
              </w:tc>
              <w:tc>
                <w:tcPr>
                  <w:tcW w:w="1896"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Obligatorisch</w:t>
                  </w:r>
                </w:p>
              </w:tc>
              <w:tc>
                <w:tcPr>
                  <w:tcW w:w="1734"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c>
                <w:tcPr>
                  <w:tcW w:w="1942"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Abschließende Prüfung</w:t>
                  </w:r>
                </w:p>
              </w:tc>
              <w:tc>
                <w:tcPr>
                  <w:tcW w:w="1734"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r>
            <w:tr w:rsidR="00E9083C" w:rsidTr="00A5042B">
              <w:tc>
                <w:tcPr>
                  <w:tcW w:w="2908" w:type="dxa"/>
                  <w:shd w:val="clear" w:color="auto" w:fill="auto"/>
                </w:tcPr>
                <w:p w:rsidR="00412A7C" w:rsidRPr="00A5042B" w:rsidRDefault="0027145D" w:rsidP="00A5042B">
                  <w:pPr>
                    <w:spacing w:after="0" w:line="240" w:lineRule="auto"/>
                    <w:rPr>
                      <w:rFonts w:ascii="Candara" w:hAnsi="Candara"/>
                      <w:szCs w:val="22"/>
                      <w:lang w:val="de-DE"/>
                    </w:rPr>
                  </w:pPr>
                  <w:r>
                    <w:rPr>
                      <w:rFonts w:ascii="Candara" w:hAnsi="Candara"/>
                      <w:szCs w:val="22"/>
                      <w:lang w:val="de-DE"/>
                    </w:rPr>
                    <w:t>Seminararbeit</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20.00</w:t>
                  </w:r>
                </w:p>
              </w:tc>
              <w:tc>
                <w:tcPr>
                  <w:tcW w:w="1942" w:type="dxa"/>
                  <w:tcBorders>
                    <w:bottom w:val="single" w:sz="4" w:space="0" w:color="auto"/>
                  </w:tcBorders>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Mündliche Prüfung</w:t>
                  </w:r>
                </w:p>
              </w:tc>
              <w:tc>
                <w:tcPr>
                  <w:tcW w:w="1734" w:type="dxa"/>
                  <w:tcBorders>
                    <w:bottom w:val="single" w:sz="4" w:space="0" w:color="auto"/>
                  </w:tcBorders>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55</w:t>
                  </w:r>
                  <w:r w:rsidR="00412A7C" w:rsidRPr="00A5042B">
                    <w:rPr>
                      <w:rFonts w:ascii="Candara" w:hAnsi="Candara"/>
                      <w:szCs w:val="22"/>
                      <w:lang w:val="de-DE"/>
                    </w:rPr>
                    <w:t>.00</w:t>
                  </w:r>
                </w:p>
              </w:tc>
            </w:tr>
            <w:tr w:rsidR="00E9083C" w:rsidTr="00A5042B">
              <w:tc>
                <w:tcPr>
                  <w:tcW w:w="2908" w:type="dxa"/>
                  <w:shd w:val="clear" w:color="auto" w:fill="auto"/>
                </w:tcPr>
                <w:p w:rsidR="00412A7C" w:rsidRPr="00A5042B" w:rsidRDefault="0027145D" w:rsidP="00A5042B">
                  <w:pPr>
                    <w:spacing w:after="0" w:line="240" w:lineRule="auto"/>
                    <w:rPr>
                      <w:rFonts w:ascii="Candara" w:hAnsi="Candara"/>
                      <w:szCs w:val="22"/>
                      <w:lang w:val="de-DE"/>
                    </w:rPr>
                  </w:pPr>
                  <w:r>
                    <w:rPr>
                      <w:rFonts w:ascii="Candara" w:hAnsi="Candara"/>
                      <w:szCs w:val="22"/>
                      <w:lang w:val="de-DE"/>
                    </w:rPr>
                    <w:t>Kolloquium</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17</w:t>
                  </w:r>
                  <w:r w:rsidR="00412A7C" w:rsidRPr="00A5042B">
                    <w:rPr>
                      <w:rFonts w:ascii="Candara" w:hAnsi="Candara"/>
                      <w:szCs w:val="22"/>
                      <w:lang w:val="de-DE"/>
                    </w:rPr>
                    <w:t>.00</w:t>
                  </w:r>
                </w:p>
              </w:tc>
              <w:tc>
                <w:tcPr>
                  <w:tcW w:w="3676" w:type="dxa"/>
                  <w:gridSpan w:val="2"/>
                  <w:tcBorders>
                    <w:top w:val="single" w:sz="4" w:space="0" w:color="auto"/>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E9083C" w:rsidTr="00A5042B">
              <w:tc>
                <w:tcPr>
                  <w:tcW w:w="2908" w:type="dxa"/>
                  <w:shd w:val="clear" w:color="auto" w:fill="auto"/>
                </w:tcPr>
                <w:p w:rsidR="00412A7C" w:rsidRPr="00A5042B" w:rsidRDefault="0027145D" w:rsidP="00C7135D">
                  <w:pPr>
                    <w:spacing w:after="0" w:line="240" w:lineRule="auto"/>
                    <w:rPr>
                      <w:rFonts w:ascii="Candara" w:hAnsi="Candara"/>
                      <w:szCs w:val="22"/>
                      <w:lang w:val="de-DE"/>
                    </w:rPr>
                  </w:pPr>
                  <w:r>
                    <w:rPr>
                      <w:rFonts w:ascii="Candara" w:hAnsi="Candara"/>
                      <w:szCs w:val="22"/>
                      <w:lang w:val="de-DE"/>
                    </w:rPr>
                    <w:t xml:space="preserve">Präsenz </w:t>
                  </w:r>
                  <w:r w:rsidR="00C7135D">
                    <w:rPr>
                      <w:rFonts w:ascii="Candara" w:hAnsi="Candara"/>
                      <w:szCs w:val="22"/>
                      <w:lang w:val="de-DE"/>
                    </w:rPr>
                    <w:t>in den</w:t>
                  </w:r>
                  <w:r>
                    <w:rPr>
                      <w:rFonts w:ascii="Candara" w:hAnsi="Candara"/>
                      <w:szCs w:val="22"/>
                      <w:lang w:val="de-DE"/>
                    </w:rPr>
                    <w:t xml:space="preserve"> Vorlesungen</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4.00</w:t>
                  </w:r>
                </w:p>
              </w:tc>
              <w:tc>
                <w:tcPr>
                  <w:tcW w:w="3676" w:type="dxa"/>
                  <w:gridSpan w:val="2"/>
                  <w:tcBorders>
                    <w:top w:val="nil"/>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E9083C" w:rsidTr="00A5042B">
              <w:tc>
                <w:tcPr>
                  <w:tcW w:w="2908" w:type="dxa"/>
                  <w:shd w:val="clear" w:color="auto" w:fill="auto"/>
                </w:tcPr>
                <w:p w:rsidR="00E2445B" w:rsidRPr="00A5042B" w:rsidRDefault="0027145D" w:rsidP="00C7135D">
                  <w:pPr>
                    <w:spacing w:after="0" w:line="240" w:lineRule="auto"/>
                    <w:rPr>
                      <w:rFonts w:ascii="Candara" w:hAnsi="Candara"/>
                      <w:szCs w:val="22"/>
                      <w:lang w:val="de-DE"/>
                    </w:rPr>
                  </w:pPr>
                  <w:r>
                    <w:rPr>
                      <w:rFonts w:ascii="Candara" w:hAnsi="Candara"/>
                      <w:szCs w:val="22"/>
                      <w:lang w:val="de-DE"/>
                    </w:rPr>
                    <w:t xml:space="preserve">Präsenz </w:t>
                  </w:r>
                  <w:r w:rsidR="00C7135D">
                    <w:rPr>
                      <w:rFonts w:ascii="Candara" w:hAnsi="Candara"/>
                      <w:szCs w:val="22"/>
                      <w:lang w:val="de-DE"/>
                    </w:rPr>
                    <w:t>in den</w:t>
                  </w:r>
                  <w:r>
                    <w:rPr>
                      <w:rFonts w:ascii="Candara" w:hAnsi="Candara"/>
                      <w:szCs w:val="22"/>
                      <w:lang w:val="de-DE"/>
                    </w:rPr>
                    <w:t xml:space="preserve"> Übungen</w:t>
                  </w:r>
                </w:p>
              </w:tc>
              <w:tc>
                <w:tcPr>
                  <w:tcW w:w="1896" w:type="dxa"/>
                  <w:shd w:val="clear" w:color="auto" w:fill="auto"/>
                </w:tcPr>
                <w:p w:rsidR="00E2445B"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Ja</w:t>
                  </w:r>
                </w:p>
              </w:tc>
              <w:tc>
                <w:tcPr>
                  <w:tcW w:w="1734" w:type="dxa"/>
                  <w:shd w:val="clear" w:color="auto" w:fill="auto"/>
                </w:tcPr>
                <w:p w:rsidR="00E2445B" w:rsidRPr="00A5042B" w:rsidRDefault="0027145D" w:rsidP="00A5042B">
                  <w:pPr>
                    <w:spacing w:after="0" w:line="240" w:lineRule="auto"/>
                    <w:jc w:val="right"/>
                    <w:rPr>
                      <w:rFonts w:ascii="Candara" w:hAnsi="Candara"/>
                      <w:szCs w:val="22"/>
                      <w:lang w:val="de-DE"/>
                    </w:rPr>
                  </w:pPr>
                  <w:r>
                    <w:rPr>
                      <w:rFonts w:ascii="Candara" w:hAnsi="Candara"/>
                      <w:szCs w:val="22"/>
                      <w:lang w:val="de-DE"/>
                    </w:rPr>
                    <w:t>4.00</w:t>
                  </w:r>
                </w:p>
              </w:tc>
              <w:tc>
                <w:tcPr>
                  <w:tcW w:w="3676" w:type="dxa"/>
                  <w:gridSpan w:val="2"/>
                  <w:tcBorders>
                    <w:top w:val="nil"/>
                    <w:bottom w:val="nil"/>
                  </w:tcBorders>
                  <w:shd w:val="clear" w:color="auto" w:fill="auto"/>
                </w:tcPr>
                <w:p w:rsidR="00E2445B" w:rsidRPr="00A5042B" w:rsidRDefault="00E2445B" w:rsidP="00A5042B">
                  <w:pPr>
                    <w:tabs>
                      <w:tab w:val="left" w:pos="360"/>
                    </w:tabs>
                    <w:spacing w:after="0" w:line="240" w:lineRule="auto"/>
                    <w:jc w:val="left"/>
                    <w:rPr>
                      <w:rFonts w:ascii="Candara" w:hAnsi="Candara"/>
                      <w:b/>
                    </w:rPr>
                  </w:pPr>
                </w:p>
              </w:tc>
            </w:tr>
          </w:tbl>
          <w:p w:rsidR="00412A7C" w:rsidRPr="00A5042B" w:rsidRDefault="00412A7C" w:rsidP="00A5042B">
            <w:pPr>
              <w:tabs>
                <w:tab w:val="left" w:pos="360"/>
              </w:tabs>
              <w:spacing w:after="0" w:line="240" w:lineRule="auto"/>
              <w:jc w:val="left"/>
              <w:rPr>
                <w:rFonts w:ascii="Candara" w:hAnsi="Candara"/>
                <w:b/>
              </w:rPr>
            </w:pP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LANGUAGE OF INSTRUCTION</w:t>
            </w:r>
          </w:p>
        </w:tc>
      </w:tr>
      <w:tr w:rsidR="00412A7C" w:rsidRPr="00B54668" w:rsidTr="00A5042B">
        <w:trPr>
          <w:trHeight w:val="562"/>
        </w:trPr>
        <w:tc>
          <w:tcPr>
            <w:tcW w:w="10440" w:type="dxa"/>
            <w:gridSpan w:val="4"/>
            <w:shd w:val="clear" w:color="auto" w:fill="auto"/>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rPr>
              <w:t>Deutsch</w:t>
            </w:r>
          </w:p>
        </w:tc>
      </w:tr>
    </w:tbl>
    <w:p w:rsidR="00FC0B32" w:rsidRDefault="00FC0B32"/>
    <w:sectPr w:rsidR="00FC0B32" w:rsidSect="004E2DD4">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71" w:rsidRDefault="00A35D71" w:rsidP="00412A7C">
      <w:pPr>
        <w:spacing w:after="0" w:line="240" w:lineRule="auto"/>
      </w:pPr>
      <w:r>
        <w:separator/>
      </w:r>
    </w:p>
  </w:endnote>
  <w:endnote w:type="continuationSeparator" w:id="0">
    <w:p w:rsidR="00A35D71" w:rsidRDefault="00A35D71" w:rsidP="00412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71" w:rsidRDefault="00A35D71" w:rsidP="00412A7C">
      <w:pPr>
        <w:spacing w:after="0" w:line="240" w:lineRule="auto"/>
      </w:pPr>
      <w:r>
        <w:separator/>
      </w:r>
    </w:p>
  </w:footnote>
  <w:footnote w:type="continuationSeparator" w:id="0">
    <w:p w:rsidR="00A35D71" w:rsidRDefault="00A35D71" w:rsidP="00412A7C">
      <w:pPr>
        <w:spacing w:after="0" w:line="240" w:lineRule="auto"/>
      </w:pPr>
      <w:r>
        <w:continuationSeparator/>
      </w:r>
    </w:p>
  </w:footnote>
  <w:footnote w:id="1">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Compulsory, optional</w:t>
      </w:r>
    </w:p>
  </w:footnote>
  <w:footnote w:id="2">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First, second or third cycle (Bachelor, Master's, Doctoral)</w:t>
      </w:r>
    </w:p>
  </w:footnote>
  <w:footnote w:id="3">
    <w:p w:rsidR="00412A7C" w:rsidRPr="00C60C45" w:rsidRDefault="00412A7C" w:rsidP="00412A7C">
      <w:pPr>
        <w:pStyle w:val="FootnoteText"/>
        <w:rPr>
          <w:sz w:val="16"/>
          <w:szCs w:val="16"/>
          <w:lang w:val="en-US"/>
        </w:rPr>
      </w:pPr>
      <w:r>
        <w:rPr>
          <w:rStyle w:val="FootnoteReference"/>
        </w:rPr>
        <w:footnoteRef/>
      </w:r>
      <w:r>
        <w:t xml:space="preserve"> </w:t>
      </w:r>
      <w:r w:rsidRPr="00A5042B">
        <w:rPr>
          <w:rFonts w:ascii="Calibri" w:hAnsi="Calibri"/>
          <w:sz w:val="18"/>
          <w:szCs w:val="18"/>
        </w:rPr>
        <w:t xml:space="preserve">ISCED-F 2013 - </w:t>
      </w:r>
      <w:hyperlink r:id="rId1" w:history="1">
        <w:r w:rsidRPr="00A5042B">
          <w:rPr>
            <w:rStyle w:val="Hyperlink"/>
            <w:rFonts w:ascii="Calibri" w:hAnsi="Calibri"/>
            <w:sz w:val="18"/>
            <w:szCs w:val="18"/>
          </w:rPr>
          <w:t>http://www.uis.unesco.org/Education/Documents/isced-f-detailed-field-descriptions-en.pdf</w:t>
        </w:r>
      </w:hyperlink>
      <w:r w:rsidRPr="00A5042B">
        <w:rPr>
          <w:rFonts w:ascii="Calibri" w:hAnsi="Calibri"/>
          <w:sz w:val="18"/>
          <w:szCs w:val="18"/>
        </w:rPr>
        <w:t xml:space="preserve"> (page 54)</w:t>
      </w:r>
    </w:p>
  </w:footnote>
  <w:footnote w:id="4">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6C7"/>
    <w:multiLevelType w:val="hybridMultilevel"/>
    <w:tmpl w:val="32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40327"/>
    <w:multiLevelType w:val="hybridMultilevel"/>
    <w:tmpl w:val="E4AA001A"/>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70350"/>
    <w:multiLevelType w:val="hybridMultilevel"/>
    <w:tmpl w:val="310C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412A7C"/>
    <w:rsid w:val="00092BE7"/>
    <w:rsid w:val="001B32E5"/>
    <w:rsid w:val="001C216E"/>
    <w:rsid w:val="002565C0"/>
    <w:rsid w:val="0026305B"/>
    <w:rsid w:val="0027145D"/>
    <w:rsid w:val="0027620D"/>
    <w:rsid w:val="00321EB8"/>
    <w:rsid w:val="00395DD7"/>
    <w:rsid w:val="003D0DCC"/>
    <w:rsid w:val="003D70D2"/>
    <w:rsid w:val="00412A7C"/>
    <w:rsid w:val="0041703A"/>
    <w:rsid w:val="0047573C"/>
    <w:rsid w:val="0049393C"/>
    <w:rsid w:val="004B6D8F"/>
    <w:rsid w:val="004E2DD4"/>
    <w:rsid w:val="0053562C"/>
    <w:rsid w:val="005737B5"/>
    <w:rsid w:val="005F10FF"/>
    <w:rsid w:val="00662C5C"/>
    <w:rsid w:val="00670BE5"/>
    <w:rsid w:val="007B062E"/>
    <w:rsid w:val="007C2DEA"/>
    <w:rsid w:val="0084649A"/>
    <w:rsid w:val="008E47FD"/>
    <w:rsid w:val="0096606C"/>
    <w:rsid w:val="009B4055"/>
    <w:rsid w:val="00A1009B"/>
    <w:rsid w:val="00A35D71"/>
    <w:rsid w:val="00A5042B"/>
    <w:rsid w:val="00B50BB7"/>
    <w:rsid w:val="00B86550"/>
    <w:rsid w:val="00BC4306"/>
    <w:rsid w:val="00BE63FD"/>
    <w:rsid w:val="00BF2A42"/>
    <w:rsid w:val="00BF66D6"/>
    <w:rsid w:val="00C7135D"/>
    <w:rsid w:val="00CB136B"/>
    <w:rsid w:val="00E03213"/>
    <w:rsid w:val="00E047F8"/>
    <w:rsid w:val="00E2445B"/>
    <w:rsid w:val="00E61BCC"/>
    <w:rsid w:val="00E7443A"/>
    <w:rsid w:val="00E84A72"/>
    <w:rsid w:val="00E9083C"/>
    <w:rsid w:val="00ED4185"/>
    <w:rsid w:val="00F61FA5"/>
    <w:rsid w:val="00F7008F"/>
    <w:rsid w:val="00F74F64"/>
    <w:rsid w:val="00F86532"/>
    <w:rsid w:val="00FC0B32"/>
    <w:rsid w:val="00FF1F2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7C"/>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A7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12A7C"/>
    <w:pPr>
      <w:spacing w:after="0" w:line="240" w:lineRule="auto"/>
    </w:pPr>
    <w:rPr>
      <w:lang/>
    </w:rPr>
  </w:style>
  <w:style w:type="character" w:customStyle="1" w:styleId="FootnoteTextChar">
    <w:name w:val="Footnote Text Char"/>
    <w:link w:val="FootnoteText"/>
    <w:uiPriority w:val="99"/>
    <w:semiHidden/>
    <w:rsid w:val="00412A7C"/>
    <w:rPr>
      <w:rFonts w:ascii="Arial" w:eastAsia="Times New Roman" w:hAnsi="Arial" w:cs="Times New Roman"/>
      <w:sz w:val="20"/>
      <w:szCs w:val="20"/>
      <w:lang w:val="en-GB"/>
    </w:rPr>
  </w:style>
  <w:style w:type="character" w:styleId="FootnoteReference">
    <w:name w:val="footnote reference"/>
    <w:uiPriority w:val="99"/>
    <w:semiHidden/>
    <w:unhideWhenUsed/>
    <w:rsid w:val="00412A7C"/>
    <w:rPr>
      <w:vertAlign w:val="superscript"/>
    </w:rPr>
  </w:style>
  <w:style w:type="character" w:styleId="Hyperlink">
    <w:name w:val="Hyperlink"/>
    <w:uiPriority w:val="99"/>
    <w:unhideWhenUsed/>
    <w:rsid w:val="00412A7C"/>
    <w:rPr>
      <w:color w:val="0000FF"/>
      <w:u w:val="single"/>
    </w:rPr>
  </w:style>
  <w:style w:type="paragraph" w:styleId="ListParagraph">
    <w:name w:val="List Paragraph"/>
    <w:basedOn w:val="Normal"/>
    <w:uiPriority w:val="34"/>
    <w:qFormat/>
    <w:rsid w:val="00412A7C"/>
    <w:pPr>
      <w:ind w:left="720"/>
      <w:contextualSpacing/>
    </w:pPr>
  </w:style>
  <w:style w:type="paragraph" w:customStyle="1" w:styleId="Default">
    <w:name w:val="Default"/>
    <w:rsid w:val="00412A7C"/>
    <w:pPr>
      <w:autoSpaceDE w:val="0"/>
      <w:autoSpaceDN w:val="0"/>
      <w:adjustRightInd w:val="0"/>
    </w:pPr>
    <w:rPr>
      <w:rFonts w:cs="Calibri"/>
      <w:color w:val="000000"/>
      <w:sz w:val="24"/>
      <w:szCs w:val="24"/>
      <w:lang w:val="de-DE" w:eastAsia="en-US"/>
    </w:rPr>
  </w:style>
  <w:style w:type="paragraph" w:styleId="BalloonText">
    <w:name w:val="Balloon Text"/>
    <w:basedOn w:val="Normal"/>
    <w:link w:val="BalloonTextChar"/>
    <w:uiPriority w:val="99"/>
    <w:semiHidden/>
    <w:unhideWhenUsed/>
    <w:rsid w:val="00412A7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12A7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525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2017-07-16T09:10:00Z</dcterms:created>
  <dcterms:modified xsi:type="dcterms:W3CDTF">2017-07-16T09:10:00Z</dcterms:modified>
</cp:coreProperties>
</file>